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68EA" w:rsidRDefault="00D168EA">
      <w:pPr>
        <w:pStyle w:val="Overskrift2"/>
        <w:spacing w:before="41"/>
        <w:ind w:left="619"/>
      </w:pPr>
      <w:r>
        <w:rPr>
          <w:noProof/>
        </w:rPr>
        <w:drawing>
          <wp:anchor distT="0" distB="0" distL="114300" distR="114300" simplePos="0" relativeHeight="251658240" behindDoc="0" locked="0" layoutInCell="1" allowOverlap="1" wp14:anchorId="13BE53E4">
            <wp:simplePos x="0" y="0"/>
            <wp:positionH relativeFrom="column">
              <wp:posOffset>489130</wp:posOffset>
            </wp:positionH>
            <wp:positionV relativeFrom="paragraph">
              <wp:posOffset>69850</wp:posOffset>
            </wp:positionV>
            <wp:extent cx="6533720" cy="9771321"/>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533720" cy="9771321"/>
                    </a:xfrm>
                    <a:prstGeom prst="rect">
                      <a:avLst/>
                    </a:prstGeom>
                  </pic:spPr>
                </pic:pic>
              </a:graphicData>
            </a:graphic>
            <wp14:sizeRelH relativeFrom="margin">
              <wp14:pctWidth>0</wp14:pctWidth>
            </wp14:sizeRelH>
            <wp14:sizeRelV relativeFrom="margin">
              <wp14:pctHeight>0</wp14:pctHeight>
            </wp14:sizeRelV>
          </wp:anchor>
        </w:drawing>
      </w:r>
    </w:p>
    <w:p w:rsidR="00D168EA" w:rsidRDefault="00D168EA">
      <w:pPr>
        <w:rPr>
          <w:b/>
          <w:bCs/>
          <w:sz w:val="32"/>
          <w:szCs w:val="32"/>
        </w:rPr>
      </w:pPr>
      <w:r>
        <w:br w:type="page"/>
      </w:r>
    </w:p>
    <w:p w:rsidR="00BB7101" w:rsidRDefault="001C1625">
      <w:pPr>
        <w:pStyle w:val="Overskrift2"/>
        <w:spacing w:before="41"/>
        <w:ind w:left="619"/>
      </w:pPr>
      <w:r>
        <w:t>Saker etter § 9A-4 og § 9A-5 får gjerne konsekvenser for andre enn elevene</w:t>
      </w:r>
    </w:p>
    <w:p w:rsidR="00BB7101" w:rsidRDefault="00BB7101">
      <w:pPr>
        <w:pStyle w:val="Brdtekst"/>
        <w:spacing w:before="11"/>
        <w:rPr>
          <w:b/>
          <w:sz w:val="23"/>
        </w:rPr>
      </w:pPr>
    </w:p>
    <w:p w:rsidR="00BB7101" w:rsidRDefault="001C1625">
      <w:pPr>
        <w:pStyle w:val="Brdtekst"/>
        <w:ind w:left="620" w:right="220"/>
      </w:pPr>
      <w:r>
        <w:t>Stadig oftere blir slike saker brukt som begrunnelse for å gripe inn i arbeidsforholdet til de ansatte.</w:t>
      </w:r>
    </w:p>
    <w:p w:rsidR="00BB7101" w:rsidRDefault="00BB7101">
      <w:pPr>
        <w:pStyle w:val="Brdtekst"/>
        <w:spacing w:before="2"/>
      </w:pPr>
    </w:p>
    <w:p w:rsidR="00BB7101" w:rsidRDefault="001C1625">
      <w:pPr>
        <w:pStyle w:val="Overskrift3"/>
        <w:spacing w:line="292" w:lineRule="exact"/>
      </w:pPr>
      <w:r>
        <w:t>Dette kan skje ved at:</w:t>
      </w:r>
    </w:p>
    <w:p w:rsidR="00BB7101" w:rsidRDefault="001C1625">
      <w:pPr>
        <w:pStyle w:val="Listeavsnitt"/>
        <w:numPr>
          <w:ilvl w:val="0"/>
          <w:numId w:val="1"/>
        </w:numPr>
        <w:tabs>
          <w:tab w:val="left" w:pos="1339"/>
          <w:tab w:val="left" w:pos="1340"/>
        </w:tabs>
        <w:rPr>
          <w:sz w:val="24"/>
        </w:rPr>
      </w:pPr>
      <w:r>
        <w:rPr>
          <w:sz w:val="24"/>
        </w:rPr>
        <w:t>de flyttes fra e</w:t>
      </w:r>
      <w:r>
        <w:rPr>
          <w:sz w:val="24"/>
        </w:rPr>
        <w:t>n klasse/får andre</w:t>
      </w:r>
      <w:r>
        <w:rPr>
          <w:spacing w:val="-12"/>
          <w:sz w:val="24"/>
        </w:rPr>
        <w:t xml:space="preserve"> </w:t>
      </w:r>
      <w:r>
        <w:rPr>
          <w:sz w:val="24"/>
        </w:rPr>
        <w:t>oppgaver</w:t>
      </w:r>
    </w:p>
    <w:p w:rsidR="00BB7101" w:rsidRDefault="001C1625">
      <w:pPr>
        <w:pStyle w:val="Listeavsnitt"/>
        <w:numPr>
          <w:ilvl w:val="0"/>
          <w:numId w:val="1"/>
        </w:numPr>
        <w:tabs>
          <w:tab w:val="left" w:pos="1339"/>
          <w:tab w:val="left" w:pos="1340"/>
        </w:tabs>
        <w:rPr>
          <w:sz w:val="24"/>
        </w:rPr>
      </w:pPr>
      <w:r>
        <w:rPr>
          <w:sz w:val="24"/>
        </w:rPr>
        <w:t>de blir omplassert til en annen</w:t>
      </w:r>
      <w:r>
        <w:rPr>
          <w:spacing w:val="-4"/>
          <w:sz w:val="24"/>
        </w:rPr>
        <w:t xml:space="preserve"> </w:t>
      </w:r>
      <w:r>
        <w:rPr>
          <w:sz w:val="24"/>
        </w:rPr>
        <w:t>skole</w:t>
      </w:r>
    </w:p>
    <w:p w:rsidR="00BB7101" w:rsidRDefault="001C1625">
      <w:pPr>
        <w:pStyle w:val="Listeavsnitt"/>
        <w:numPr>
          <w:ilvl w:val="0"/>
          <w:numId w:val="1"/>
        </w:numPr>
        <w:tabs>
          <w:tab w:val="left" w:pos="1339"/>
          <w:tab w:val="left" w:pos="1340"/>
        </w:tabs>
        <w:rPr>
          <w:sz w:val="24"/>
        </w:rPr>
      </w:pPr>
      <w:r>
        <w:rPr>
          <w:sz w:val="24"/>
        </w:rPr>
        <w:t>de fratas</w:t>
      </w:r>
      <w:r>
        <w:rPr>
          <w:spacing w:val="-4"/>
          <w:sz w:val="24"/>
        </w:rPr>
        <w:t xml:space="preserve"> </w:t>
      </w:r>
      <w:r>
        <w:rPr>
          <w:sz w:val="24"/>
        </w:rPr>
        <w:t>kontaktlærerstillingen</w:t>
      </w:r>
    </w:p>
    <w:p w:rsidR="00BB7101" w:rsidRDefault="001C1625">
      <w:pPr>
        <w:pStyle w:val="Listeavsnitt"/>
        <w:numPr>
          <w:ilvl w:val="0"/>
          <w:numId w:val="1"/>
        </w:numPr>
        <w:tabs>
          <w:tab w:val="left" w:pos="1339"/>
          <w:tab w:val="left" w:pos="1340"/>
        </w:tabs>
        <w:spacing w:before="1"/>
        <w:rPr>
          <w:sz w:val="24"/>
        </w:rPr>
      </w:pPr>
      <w:r>
        <w:rPr>
          <w:sz w:val="24"/>
        </w:rPr>
        <w:t>de blir suspendert i en</w:t>
      </w:r>
      <w:r>
        <w:rPr>
          <w:spacing w:val="-3"/>
          <w:sz w:val="24"/>
        </w:rPr>
        <w:t xml:space="preserve"> </w:t>
      </w:r>
      <w:r>
        <w:rPr>
          <w:sz w:val="24"/>
        </w:rPr>
        <w:t>periode</w:t>
      </w:r>
    </w:p>
    <w:p w:rsidR="00BB7101" w:rsidRDefault="001C1625">
      <w:pPr>
        <w:pStyle w:val="Listeavsnitt"/>
        <w:numPr>
          <w:ilvl w:val="0"/>
          <w:numId w:val="1"/>
        </w:numPr>
        <w:tabs>
          <w:tab w:val="left" w:pos="1339"/>
          <w:tab w:val="left" w:pos="1340"/>
        </w:tabs>
        <w:rPr>
          <w:sz w:val="24"/>
        </w:rPr>
      </w:pPr>
      <w:r>
        <w:rPr>
          <w:sz w:val="24"/>
        </w:rPr>
        <w:t>de får en advarsel eller</w:t>
      </w:r>
      <w:r>
        <w:rPr>
          <w:spacing w:val="-5"/>
          <w:sz w:val="24"/>
        </w:rPr>
        <w:t xml:space="preserve"> </w:t>
      </w:r>
      <w:r>
        <w:rPr>
          <w:sz w:val="24"/>
        </w:rPr>
        <w:t>tilrettevisning</w:t>
      </w:r>
    </w:p>
    <w:p w:rsidR="00BB7101" w:rsidRDefault="001C1625">
      <w:pPr>
        <w:pStyle w:val="Listeavsnitt"/>
        <w:numPr>
          <w:ilvl w:val="0"/>
          <w:numId w:val="1"/>
        </w:numPr>
        <w:tabs>
          <w:tab w:val="left" w:pos="1339"/>
          <w:tab w:val="left" w:pos="1340"/>
        </w:tabs>
        <w:spacing w:before="2" w:line="240" w:lineRule="auto"/>
        <w:rPr>
          <w:sz w:val="24"/>
        </w:rPr>
      </w:pPr>
      <w:r>
        <w:rPr>
          <w:sz w:val="24"/>
        </w:rPr>
        <w:t>de blir oppsagt eller avskjediget</w:t>
      </w:r>
    </w:p>
    <w:p w:rsidR="00BB7101" w:rsidRDefault="00BB7101">
      <w:pPr>
        <w:pStyle w:val="Brdtekst"/>
        <w:spacing w:before="11"/>
        <w:rPr>
          <w:sz w:val="23"/>
        </w:rPr>
      </w:pPr>
    </w:p>
    <w:p w:rsidR="00BB7101" w:rsidRDefault="001C1625">
      <w:pPr>
        <w:pStyle w:val="Brdtekst"/>
        <w:spacing w:before="1"/>
        <w:ind w:left="620" w:right="20"/>
      </w:pPr>
      <w:r>
        <w:t>Begrunnelsen for slike inngrep i arbeidsforholdet er gjerne elevens subjektive oppfatning av en konkret hendelse. Her blander ofte arbeidsgiver sammen elevens rett til en tiltaksplan basert på subjektiv opplevelse med at den subjektive opplevelsen også kan</w:t>
      </w:r>
      <w:r>
        <w:t xml:space="preserve"> brukes som begrunnelse for inngripende tiltak i et arbeidsforhold. Det kan den ikke.</w:t>
      </w:r>
    </w:p>
    <w:p w:rsidR="00BB7101" w:rsidRDefault="00BB7101">
      <w:pPr>
        <w:pStyle w:val="Brdtekst"/>
        <w:spacing w:before="1"/>
      </w:pPr>
    </w:p>
    <w:p w:rsidR="00BB7101" w:rsidRDefault="001C1625">
      <w:pPr>
        <w:ind w:left="620" w:right="74"/>
        <w:rPr>
          <w:rFonts w:ascii="Cambria" w:hAnsi="Cambria"/>
          <w:b/>
          <w:i/>
          <w:sz w:val="24"/>
        </w:rPr>
      </w:pPr>
      <w:r>
        <w:rPr>
          <w:rFonts w:ascii="Cambria" w:hAnsi="Cambria"/>
          <w:b/>
          <w:i/>
          <w:sz w:val="24"/>
        </w:rPr>
        <w:t>«En lærer kan ikke straffedømmes på grunnlag av elevens subjektive opplevelse av å være krenket, og mobbeparagrafen kan ikke påberopes i en slik sammenheng»</w:t>
      </w:r>
    </w:p>
    <w:p w:rsidR="00BB7101" w:rsidRDefault="00BB7101">
      <w:pPr>
        <w:pStyle w:val="Brdtekst"/>
        <w:spacing w:before="11"/>
        <w:rPr>
          <w:rFonts w:ascii="Cambria"/>
          <w:b/>
          <w:i/>
          <w:sz w:val="23"/>
        </w:rPr>
      </w:pPr>
    </w:p>
    <w:p w:rsidR="00BB7101" w:rsidRDefault="001C1625">
      <w:pPr>
        <w:pStyle w:val="Brdtekst"/>
        <w:ind w:left="3452"/>
        <w:rPr>
          <w:rFonts w:ascii="Cambria"/>
        </w:rPr>
      </w:pPr>
      <w:r>
        <w:rPr>
          <w:rFonts w:ascii="Cambria"/>
        </w:rPr>
        <w:t>(LO-advokat</w:t>
      </w:r>
      <w:r>
        <w:rPr>
          <w:rFonts w:ascii="Cambria"/>
        </w:rPr>
        <w:t>ene)</w:t>
      </w:r>
    </w:p>
    <w:p w:rsidR="00BB7101" w:rsidRDefault="00BB7101">
      <w:pPr>
        <w:pStyle w:val="Brdtekst"/>
        <w:spacing w:before="11"/>
        <w:rPr>
          <w:rFonts w:ascii="Cambria"/>
        </w:rPr>
      </w:pPr>
    </w:p>
    <w:p w:rsidR="00BB7101" w:rsidRDefault="001C1625">
      <w:pPr>
        <w:pStyle w:val="Brdtekst"/>
        <w:ind w:left="620" w:right="61"/>
      </w:pPr>
      <w:r>
        <w:t xml:space="preserve">Inngripen i arbeidsforholdet må i hovedsak begrunnes i arbeidsmiljøloven </w:t>
      </w:r>
      <w:r>
        <w:lastRenderedPageBreak/>
        <w:t>(AML). Det kan ikke begrunnes i opplæringsloven. AML stiller beviskrav for inngripen/endring av et arbeidsforhold. Elevens subjektive opplevelse kan ikke være det eneste</w:t>
      </w:r>
      <w:r>
        <w:rPr>
          <w:spacing w:val="-1"/>
        </w:rPr>
        <w:t xml:space="preserve"> </w:t>
      </w:r>
      <w:r>
        <w:t>beviset</w:t>
      </w:r>
      <w:r>
        <w:t>.</w:t>
      </w:r>
    </w:p>
    <w:p w:rsidR="00BB7101" w:rsidRDefault="00BB7101">
      <w:pPr>
        <w:pStyle w:val="Brdtekst"/>
        <w:spacing w:before="1"/>
      </w:pPr>
    </w:p>
    <w:p w:rsidR="00BB7101" w:rsidRDefault="001C1625">
      <w:pPr>
        <w:ind w:left="620" w:right="72"/>
        <w:jc w:val="both"/>
        <w:rPr>
          <w:sz w:val="24"/>
        </w:rPr>
      </w:pPr>
      <w:r>
        <w:rPr>
          <w:sz w:val="24"/>
        </w:rPr>
        <w:t xml:space="preserve">Det sies ofte at ansatte ikke har partsrettigheter i en 9A-sak, men dette er ikke tilfelle hvis saken får konsekvenser for arbeidsforholdet. </w:t>
      </w:r>
      <w:r>
        <w:rPr>
          <w:b/>
          <w:sz w:val="24"/>
        </w:rPr>
        <w:t>Dette er slått fast av Sivilombudsmannen i flere saker</w:t>
      </w:r>
      <w:r>
        <w:rPr>
          <w:sz w:val="24"/>
        </w:rPr>
        <w:t>*.</w:t>
      </w:r>
    </w:p>
    <w:p w:rsidR="00BB7101" w:rsidRDefault="00BB7101">
      <w:pPr>
        <w:pStyle w:val="Brdtekst"/>
        <w:spacing w:before="11"/>
        <w:rPr>
          <w:sz w:val="23"/>
        </w:rPr>
      </w:pPr>
    </w:p>
    <w:p w:rsidR="00BB7101" w:rsidRDefault="001C1625">
      <w:pPr>
        <w:pStyle w:val="Brdtekst"/>
        <w:ind w:left="620" w:right="176"/>
      </w:pPr>
      <w:r>
        <w:t>Noen av reaksjonene nevnt overfor kan ligge innenfor a</w:t>
      </w:r>
      <w:r>
        <w:t>rbeidsgivers styringsrett. Det å bli flyttet fra en klasse/elev, og kanskje også omplassering til en annen skole, kan ligge innenfor styringsretten. Men selv saker innenfor styringsretten skal være saklig begrunnet.</w:t>
      </w:r>
    </w:p>
    <w:p w:rsidR="00BB7101" w:rsidRDefault="001C1625">
      <w:pPr>
        <w:pStyle w:val="Brdtekst"/>
        <w:spacing w:before="41"/>
        <w:ind w:left="620" w:right="658"/>
      </w:pPr>
      <w:r>
        <w:br w:type="column"/>
      </w:r>
      <w:r>
        <w:lastRenderedPageBreak/>
        <w:t>Grensen for å bruke styringsretten på d</w:t>
      </w:r>
      <w:r>
        <w:t>enne måten og for hva som er trakassering etter AMLs</w:t>
      </w:r>
    </w:p>
    <w:p w:rsidR="00BB7101" w:rsidRDefault="001C1625">
      <w:pPr>
        <w:pStyle w:val="Brdtekst"/>
        <w:spacing w:line="293" w:lineRule="exact"/>
        <w:ind w:left="620"/>
      </w:pPr>
      <w:r>
        <w:t>§ 4-3, er flytende.</w:t>
      </w:r>
    </w:p>
    <w:p w:rsidR="00BB7101" w:rsidRDefault="00BB7101">
      <w:pPr>
        <w:pStyle w:val="Brdtekst"/>
        <w:spacing w:before="11"/>
        <w:rPr>
          <w:sz w:val="23"/>
        </w:rPr>
      </w:pPr>
    </w:p>
    <w:p w:rsidR="00BB7101" w:rsidRDefault="001C1625">
      <w:pPr>
        <w:pStyle w:val="Brdtekst"/>
        <w:spacing w:before="1"/>
        <w:ind w:left="620" w:right="564"/>
      </w:pPr>
      <w:r>
        <w:t>Hvis arbeidsgiver skulle ta kontaktlærerjobben fra noen, inkludert lønna og tiden, vil dette være et kontraktsbrudd. Når det er inngått en avtale med noen at de skal være kontaktlære</w:t>
      </w:r>
      <w:r>
        <w:t>r, kan ikke den ene parten ensidig velge å bryte kontrakten uten saklig grunn.</w:t>
      </w:r>
    </w:p>
    <w:p w:rsidR="00BB7101" w:rsidRDefault="00BB7101">
      <w:pPr>
        <w:pStyle w:val="Brdtekst"/>
        <w:spacing w:before="1"/>
        <w:rPr>
          <w:sz w:val="23"/>
        </w:rPr>
      </w:pPr>
    </w:p>
    <w:p w:rsidR="00BB7101" w:rsidRDefault="001C1625">
      <w:pPr>
        <w:spacing w:line="341" w:lineRule="exact"/>
        <w:ind w:left="620"/>
        <w:rPr>
          <w:b/>
          <w:sz w:val="28"/>
        </w:rPr>
      </w:pPr>
      <w:r>
        <w:rPr>
          <w:b/>
          <w:color w:val="212121"/>
          <w:sz w:val="28"/>
        </w:rPr>
        <w:t>Avtaler skal holdes</w:t>
      </w:r>
    </w:p>
    <w:p w:rsidR="00BB7101" w:rsidRDefault="001C1625">
      <w:pPr>
        <w:pStyle w:val="Brdtekst"/>
        <w:ind w:left="620" w:right="731"/>
        <w:rPr>
          <w:b/>
        </w:rPr>
      </w:pPr>
      <w:r>
        <w:rPr>
          <w:color w:val="212121"/>
        </w:rPr>
        <w:t xml:space="preserve">En avtale er en avtale, så partene kan ikke bare trekke seg fra en avtale. Dette fremgår av Kong Christian Den Femtis Norske Lov fra 1687 - NL 5- 1-2, som sier </w:t>
      </w:r>
      <w:r>
        <w:rPr>
          <w:b/>
          <w:color w:val="212121"/>
        </w:rPr>
        <w:t>«Contracter ... skulle holdis».*</w:t>
      </w:r>
    </w:p>
    <w:p w:rsidR="00BB7101" w:rsidRDefault="00BB7101">
      <w:pPr>
        <w:pStyle w:val="Brdtekst"/>
        <w:spacing w:before="11"/>
        <w:rPr>
          <w:b/>
          <w:sz w:val="22"/>
        </w:rPr>
      </w:pPr>
    </w:p>
    <w:p w:rsidR="00BB7101" w:rsidRDefault="001C1625">
      <w:pPr>
        <w:pStyle w:val="Brdtekst"/>
        <w:ind w:left="620" w:right="622"/>
      </w:pPr>
      <w:r>
        <w:rPr>
          <w:color w:val="212121"/>
        </w:rPr>
        <w:t>Det vil si at en avtale skal gjennomføres etter hva partene har blitt enige om, selv om oppfyllelse blir mer krevende enn parten antok da avtalen ble inngått, og selv om en av partene ikke lenger har interesse i eller ønske om å gjennomføre avtalen. Eskedo</w:t>
      </w:r>
      <w:r>
        <w:rPr>
          <w:color w:val="212121"/>
        </w:rPr>
        <w:t>mmen, Rt. 1933 s. 207, er illustrerende.</w:t>
      </w:r>
    </w:p>
    <w:p w:rsidR="00BB7101" w:rsidRDefault="00BB7101">
      <w:pPr>
        <w:pStyle w:val="Brdtekst"/>
        <w:spacing w:before="11"/>
        <w:rPr>
          <w:sz w:val="22"/>
        </w:rPr>
      </w:pPr>
    </w:p>
    <w:p w:rsidR="00BB7101" w:rsidRDefault="001C1625">
      <w:pPr>
        <w:pStyle w:val="Brdtekst"/>
        <w:ind w:left="620" w:right="581"/>
      </w:pPr>
      <w:r>
        <w:rPr>
          <w:color w:val="212121"/>
        </w:rPr>
        <w:t>Prinsippet blir omtalt som «pacta sunt servanda». Hver av partene kan få hjelp av myndighetene til å gjennomføre avtalen med tvang (tvangsfullbyrdelse) dersom motparten ikke holder hva han/hun</w:t>
      </w:r>
      <w:r>
        <w:rPr>
          <w:color w:val="212121"/>
          <w:spacing w:val="-1"/>
        </w:rPr>
        <w:t xml:space="preserve"> </w:t>
      </w:r>
      <w:r>
        <w:rPr>
          <w:color w:val="212121"/>
        </w:rPr>
        <w:t>lovet.</w:t>
      </w:r>
    </w:p>
    <w:p w:rsidR="00BB7101" w:rsidRDefault="00BB7101">
      <w:pPr>
        <w:pStyle w:val="Brdtekst"/>
        <w:spacing w:before="12"/>
        <w:rPr>
          <w:sz w:val="22"/>
        </w:rPr>
      </w:pPr>
    </w:p>
    <w:p w:rsidR="00BB7101" w:rsidRDefault="001C1625">
      <w:pPr>
        <w:pStyle w:val="Brdtekst"/>
        <w:ind w:left="620" w:right="657"/>
        <w:jc w:val="both"/>
      </w:pPr>
      <w:r>
        <w:rPr>
          <w:color w:val="212121"/>
        </w:rPr>
        <w:t>Det finnes vi</w:t>
      </w:r>
      <w:r>
        <w:rPr>
          <w:color w:val="212121"/>
        </w:rPr>
        <w:t>sse begrensninger i dette prinsippet. Blant annet plikter man ikke å oppfylle en avtale som strider mot lov eller «ærbarhet».</w:t>
      </w:r>
    </w:p>
    <w:p w:rsidR="00BB7101" w:rsidRDefault="00BB7101">
      <w:pPr>
        <w:pStyle w:val="Brdtekst"/>
        <w:spacing w:before="11"/>
        <w:rPr>
          <w:sz w:val="22"/>
        </w:rPr>
      </w:pPr>
    </w:p>
    <w:p w:rsidR="00BB7101" w:rsidRDefault="001C1625">
      <w:pPr>
        <w:pStyle w:val="Brdtekst"/>
        <w:spacing w:before="1"/>
        <w:ind w:left="620" w:right="578"/>
      </w:pPr>
      <w:r>
        <w:rPr>
          <w:color w:val="212121"/>
        </w:rPr>
        <w:t>Det siste innebærer at man ikke kan tvinges til å gjennomføre noe som er direkte umoralsk, eller som er et for stort inngrep i de</w:t>
      </w:r>
      <w:r>
        <w:rPr>
          <w:color w:val="212121"/>
        </w:rPr>
        <w:t>n personlige frihet.</w:t>
      </w:r>
    </w:p>
    <w:p w:rsidR="00BB7101" w:rsidRDefault="00BB7101">
      <w:pPr>
        <w:pStyle w:val="Brdtekst"/>
        <w:spacing w:before="11"/>
        <w:rPr>
          <w:sz w:val="22"/>
        </w:rPr>
      </w:pPr>
    </w:p>
    <w:p w:rsidR="00BB7101" w:rsidRDefault="001C1625">
      <w:pPr>
        <w:pStyle w:val="Brdtekst"/>
        <w:ind w:left="620" w:right="589"/>
      </w:pPr>
      <w:r>
        <w:t>Suspensjon (AMLs § 15-13), utestengelse fra jobben, kan bare brukes dersom det er grunn til å anta at man blir avskjediget etter AMLs § 15-14.</w:t>
      </w:r>
    </w:p>
    <w:p w:rsidR="00BB7101" w:rsidRDefault="00BB7101">
      <w:pPr>
        <w:pStyle w:val="Brdtekst"/>
        <w:rPr>
          <w:sz w:val="20"/>
        </w:rPr>
      </w:pPr>
    </w:p>
    <w:p w:rsidR="00BB7101" w:rsidRDefault="001C1625">
      <w:pPr>
        <w:pStyle w:val="Brdtekst"/>
        <w:spacing w:before="11"/>
        <w:rPr>
          <w:sz w:val="29"/>
        </w:rPr>
      </w:pPr>
      <w:r>
        <w:rPr>
          <w:noProof/>
        </w:rPr>
        <w:drawing>
          <wp:anchor distT="0" distB="0" distL="0" distR="0" simplePos="0" relativeHeight="251646976" behindDoc="0" locked="0" layoutInCell="1" allowOverlap="1">
            <wp:simplePos x="0" y="0"/>
            <wp:positionH relativeFrom="page">
              <wp:posOffset>4786631</wp:posOffset>
            </wp:positionH>
            <wp:positionV relativeFrom="paragraph">
              <wp:posOffset>256821</wp:posOffset>
            </wp:positionV>
            <wp:extent cx="1146049" cy="1146048"/>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6" cstate="print"/>
                    <a:stretch>
                      <a:fillRect/>
                    </a:stretch>
                  </pic:blipFill>
                  <pic:spPr>
                    <a:xfrm>
                      <a:off x="0" y="0"/>
                      <a:ext cx="1146049" cy="1146048"/>
                    </a:xfrm>
                    <a:prstGeom prst="rect">
                      <a:avLst/>
                    </a:prstGeom>
                  </pic:spPr>
                </pic:pic>
              </a:graphicData>
            </a:graphic>
          </wp:anchor>
        </w:drawing>
      </w:r>
    </w:p>
    <w:p w:rsidR="00BB7101" w:rsidRDefault="00BB7101">
      <w:pPr>
        <w:rPr>
          <w:sz w:val="29"/>
        </w:rPr>
        <w:sectPr w:rsidR="00BB7101" w:rsidSect="001C1625">
          <w:pgSz w:w="11910" w:h="16840"/>
          <w:pgMar w:top="660" w:right="160" w:bottom="280" w:left="100" w:header="708" w:footer="708" w:gutter="0"/>
          <w:cols w:num="2" w:space="708" w:equalWidth="0">
            <w:col w:w="5533" w:space="54"/>
            <w:col w:w="6063"/>
          </w:cols>
          <w:docGrid w:linePitch="299"/>
        </w:sectPr>
      </w:pPr>
    </w:p>
    <w:p w:rsidR="00BB7101" w:rsidRDefault="001C1625">
      <w:pPr>
        <w:pStyle w:val="Brdtekst"/>
        <w:spacing w:before="41"/>
        <w:ind w:left="620"/>
      </w:pPr>
      <w:r>
        <w:rPr>
          <w:b/>
        </w:rPr>
        <w:lastRenderedPageBreak/>
        <w:t xml:space="preserve">Husk: </w:t>
      </w:r>
      <w:r>
        <w:t>Det spiller ingen rolle om ordet</w:t>
      </w:r>
    </w:p>
    <w:p w:rsidR="00BB7101" w:rsidRDefault="001C1625">
      <w:pPr>
        <w:pStyle w:val="Brdtekst"/>
        <w:ind w:left="620" w:right="33"/>
      </w:pPr>
      <w:r>
        <w:t xml:space="preserve">«suspensjon» blir brukt </w:t>
      </w:r>
      <w:r>
        <w:t>eller ikke. Hvis tiltaket medfører de facto suspensjon, er det suspensjon.</w:t>
      </w:r>
    </w:p>
    <w:p w:rsidR="00BB7101" w:rsidRDefault="00BB7101">
      <w:pPr>
        <w:pStyle w:val="Brdtekst"/>
        <w:spacing w:before="11"/>
        <w:rPr>
          <w:sz w:val="23"/>
        </w:rPr>
      </w:pPr>
    </w:p>
    <w:p w:rsidR="00BB7101" w:rsidRDefault="001C1625">
      <w:pPr>
        <w:pStyle w:val="Brdtekst"/>
        <w:ind w:left="620" w:right="197"/>
      </w:pPr>
      <w:r>
        <w:t>PS! At arbeidsgiver velger å kalle det noe annet, betyr ingenting.</w:t>
      </w:r>
    </w:p>
    <w:p w:rsidR="00BB7101" w:rsidRDefault="00BB7101">
      <w:pPr>
        <w:pStyle w:val="Brdtekst"/>
      </w:pPr>
    </w:p>
    <w:p w:rsidR="00BB7101" w:rsidRDefault="001C1625">
      <w:pPr>
        <w:pStyle w:val="Overskrift2"/>
        <w:ind w:right="1292"/>
      </w:pPr>
      <w:r>
        <w:t>Advarsler er nummeret før oppsigelse …</w:t>
      </w:r>
    </w:p>
    <w:p w:rsidR="00BB7101" w:rsidRDefault="00BB7101">
      <w:pPr>
        <w:pStyle w:val="Brdtekst"/>
        <w:spacing w:before="1"/>
        <w:rPr>
          <w:b/>
        </w:rPr>
      </w:pPr>
    </w:p>
    <w:p w:rsidR="00BB7101" w:rsidRDefault="001C1625">
      <w:pPr>
        <w:ind w:left="620" w:right="181"/>
        <w:rPr>
          <w:sz w:val="24"/>
        </w:rPr>
      </w:pPr>
      <w:r>
        <w:rPr>
          <w:sz w:val="24"/>
        </w:rPr>
        <w:t xml:space="preserve">Dermed bør saklighetskravene til en advarsel være omtrent de samme som for en oppsigelse. </w:t>
      </w:r>
      <w:r>
        <w:rPr>
          <w:b/>
          <w:sz w:val="24"/>
        </w:rPr>
        <w:t xml:space="preserve">Men AML har ingen bestemmelser om advarsler*. </w:t>
      </w:r>
      <w:r>
        <w:rPr>
          <w:sz w:val="24"/>
        </w:rPr>
        <w:t>Det er altså en ulovfestet praksis.</w:t>
      </w:r>
    </w:p>
    <w:p w:rsidR="00BB7101" w:rsidRDefault="00BB7101">
      <w:pPr>
        <w:pStyle w:val="Brdtekst"/>
        <w:spacing w:before="11"/>
        <w:rPr>
          <w:sz w:val="23"/>
        </w:rPr>
      </w:pPr>
    </w:p>
    <w:p w:rsidR="00BB7101" w:rsidRDefault="001C1625">
      <w:pPr>
        <w:pStyle w:val="Brdtekst"/>
        <w:ind w:left="619" w:right="272"/>
      </w:pPr>
      <w:r>
        <w:t>Får du en advarsel du er sterkt uenig i, signerer du med «Mottatt, ikke akseptert».</w:t>
      </w:r>
      <w:r>
        <w:t xml:space="preserve"> Lever din versjon av den påståtte hendelsen</w:t>
      </w:r>
    </w:p>
    <w:p w:rsidR="00BB7101" w:rsidRDefault="00BB7101">
      <w:pPr>
        <w:pStyle w:val="Brdtekst"/>
        <w:spacing w:before="2"/>
      </w:pPr>
    </w:p>
    <w:p w:rsidR="00BB7101" w:rsidRDefault="001C1625">
      <w:pPr>
        <w:pStyle w:val="Brdtekst"/>
        <w:ind w:left="619" w:right="147"/>
        <w:jc w:val="both"/>
      </w:pPr>
      <w:r>
        <w:t>En advarsel gitt på svakt grunnlag, f.eks. elevens subjektive opplevelse, vil være lite verdt når den ikke er akseptert.</w:t>
      </w:r>
    </w:p>
    <w:p w:rsidR="00BB7101" w:rsidRDefault="00BB7101">
      <w:pPr>
        <w:pStyle w:val="Brdtekst"/>
        <w:spacing w:before="11"/>
        <w:rPr>
          <w:sz w:val="23"/>
        </w:rPr>
      </w:pPr>
    </w:p>
    <w:p w:rsidR="00BB7101" w:rsidRDefault="001C1625">
      <w:pPr>
        <w:pStyle w:val="Brdtekst"/>
        <w:ind w:left="619" w:right="382"/>
        <w:jc w:val="both"/>
      </w:pPr>
      <w:r>
        <w:t xml:space="preserve">Det er strenge saklighetskrav til en oppsigelse etter AMLs § 15-7. En oppsigelse basert </w:t>
      </w:r>
      <w:r>
        <w:t>på en elevs subjektive opplevelse av en situasjon, vil ikke ha en sjans i en arbeidsrettssak.</w:t>
      </w:r>
    </w:p>
    <w:p w:rsidR="00BB7101" w:rsidRDefault="001C1625">
      <w:pPr>
        <w:pStyle w:val="Brdtekst"/>
        <w:ind w:left="619" w:right="399"/>
        <w:jc w:val="both"/>
      </w:pPr>
      <w:r>
        <w:t>Begrunnelsen for en slik oppsigelse må kunne dokumenteres. Uten dokumentasjon er saken dødfødt.</w:t>
      </w:r>
    </w:p>
    <w:p w:rsidR="00BB7101" w:rsidRDefault="00BB7101">
      <w:pPr>
        <w:pStyle w:val="Brdtekst"/>
        <w:spacing w:before="12"/>
        <w:rPr>
          <w:sz w:val="23"/>
        </w:rPr>
      </w:pPr>
    </w:p>
    <w:p w:rsidR="00BB7101" w:rsidRDefault="001C1625">
      <w:pPr>
        <w:pStyle w:val="Overskrift2"/>
        <w:ind w:right="299"/>
        <w:jc w:val="both"/>
      </w:pPr>
      <w:r>
        <w:t xml:space="preserve">Flere rettssaker har nå slått fast at en lærer har både plikt og </w:t>
      </w:r>
      <w:r>
        <w:t>rett til å gripe inn overfor elever …</w:t>
      </w:r>
    </w:p>
    <w:p w:rsidR="00BB7101" w:rsidRDefault="00BB7101">
      <w:pPr>
        <w:pStyle w:val="Brdtekst"/>
        <w:spacing w:before="1"/>
        <w:rPr>
          <w:b/>
        </w:rPr>
      </w:pPr>
    </w:p>
    <w:p w:rsidR="00BB7101" w:rsidRDefault="001C1625">
      <w:pPr>
        <w:pStyle w:val="Brdtekst"/>
        <w:ind w:left="620" w:right="38"/>
      </w:pPr>
      <w:r>
        <w:lastRenderedPageBreak/>
        <w:t xml:space="preserve">Dette gjelder nemlig plikten til å sørge for at «alle elever har rett til et trygt og godt skolemiljø» og håndheve skolenes «nulltoleranse mot krenking som mobbing, vold, diskriminering og trakassering» som det står i </w:t>
      </w:r>
      <w:r>
        <w:rPr>
          <w:b/>
        </w:rPr>
        <w:t>opplæringsloven § 9 A-2 og § 9 A-3*</w:t>
      </w:r>
      <w:r>
        <w:t>.</w:t>
      </w:r>
    </w:p>
    <w:p w:rsidR="00BB7101" w:rsidRDefault="00BB7101">
      <w:pPr>
        <w:pStyle w:val="Brdtekst"/>
        <w:spacing w:before="11"/>
        <w:rPr>
          <w:sz w:val="23"/>
        </w:rPr>
      </w:pPr>
    </w:p>
    <w:p w:rsidR="00BB7101" w:rsidRDefault="001C1625">
      <w:pPr>
        <w:pStyle w:val="Overskrift3"/>
        <w:ind w:right="259"/>
      </w:pPr>
      <w:r>
        <w:t>Dommene, i likhet med 9 A-4, viser også at en lærer må, og skal, korrigere uønsket atferd fra elevene, men det må skje uten unødvendig maktanvendelse og uten å krenke eleven*.</w:t>
      </w:r>
    </w:p>
    <w:p w:rsidR="00BB7101" w:rsidRDefault="001C1625">
      <w:pPr>
        <w:spacing w:before="41" w:line="341" w:lineRule="exact"/>
        <w:ind w:left="637"/>
        <w:rPr>
          <w:b/>
          <w:sz w:val="28"/>
        </w:rPr>
      </w:pPr>
      <w:r>
        <w:br w:type="column"/>
      </w:r>
      <w:r>
        <w:rPr>
          <w:b/>
          <w:sz w:val="28"/>
        </w:rPr>
        <w:lastRenderedPageBreak/>
        <w:t>Hvordan forebygge?</w:t>
      </w:r>
    </w:p>
    <w:p w:rsidR="00BB7101" w:rsidRDefault="001C1625">
      <w:pPr>
        <w:pStyle w:val="Brdtekst"/>
        <w:ind w:left="637" w:right="645"/>
      </w:pPr>
      <w:r>
        <w:t>Hovedtillitsvalgt bør prøve å få til kommunale retningslinje</w:t>
      </w:r>
      <w:r>
        <w:t>r for hvordan saker som har utspring i § 9A skal håndteres overfor ansatte.</w:t>
      </w:r>
    </w:p>
    <w:p w:rsidR="00BB7101" w:rsidRDefault="00BB7101">
      <w:pPr>
        <w:pStyle w:val="Brdtekst"/>
        <w:spacing w:before="1"/>
      </w:pPr>
    </w:p>
    <w:p w:rsidR="00BB7101" w:rsidRDefault="001C1625">
      <w:pPr>
        <w:pStyle w:val="Brdtekst"/>
        <w:ind w:left="637" w:right="753"/>
      </w:pPr>
      <w:r>
        <w:t xml:space="preserve">Har man klare retningslinjer for hva man skal og ikke skal gjøre i slike situasjoner, vil man kunne </w:t>
      </w:r>
      <w:bookmarkStart w:id="0" w:name="_GoBack"/>
      <w:bookmarkEnd w:id="0"/>
      <w:r>
        <w:t>unngå unødig eskalering. Det er lettere å unngå tabber enn å rette dem opp.</w:t>
      </w:r>
    </w:p>
    <w:p w:rsidR="00BB7101" w:rsidRDefault="00BB7101">
      <w:pPr>
        <w:pStyle w:val="Brdtekst"/>
        <w:rPr>
          <w:sz w:val="20"/>
        </w:rPr>
      </w:pPr>
    </w:p>
    <w:p w:rsidR="00BB7101" w:rsidRDefault="00BB7101">
      <w:pPr>
        <w:pStyle w:val="Brdtekst"/>
        <w:rPr>
          <w:sz w:val="20"/>
        </w:rPr>
      </w:pPr>
    </w:p>
    <w:p w:rsidR="00BB7101" w:rsidRDefault="001C1625">
      <w:pPr>
        <w:pStyle w:val="Brdtekst"/>
        <w:rPr>
          <w:sz w:val="18"/>
        </w:rPr>
      </w:pPr>
      <w:r>
        <w:rPr>
          <w:noProof/>
        </w:rPr>
        <w:drawing>
          <wp:anchor distT="0" distB="0" distL="0" distR="0" simplePos="0" relativeHeight="6" behindDoc="0" locked="0" layoutInCell="1" allowOverlap="1">
            <wp:simplePos x="0" y="0"/>
            <wp:positionH relativeFrom="page">
              <wp:posOffset>3994150</wp:posOffset>
            </wp:positionH>
            <wp:positionV relativeFrom="paragraph">
              <wp:posOffset>164454</wp:posOffset>
            </wp:positionV>
            <wp:extent cx="3005662" cy="1654682"/>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7" cstate="print"/>
                    <a:stretch>
                      <a:fillRect/>
                    </a:stretch>
                  </pic:blipFill>
                  <pic:spPr>
                    <a:xfrm>
                      <a:off x="0" y="0"/>
                      <a:ext cx="3005662" cy="1654682"/>
                    </a:xfrm>
                    <a:prstGeom prst="rect">
                      <a:avLst/>
                    </a:prstGeom>
                  </pic:spPr>
                </pic:pic>
              </a:graphicData>
            </a:graphic>
          </wp:anchor>
        </w:drawing>
      </w:r>
    </w:p>
    <w:p w:rsidR="00BB7101" w:rsidRDefault="00BB7101">
      <w:pPr>
        <w:pStyle w:val="Brdtekst"/>
        <w:spacing w:before="11"/>
        <w:rPr>
          <w:sz w:val="34"/>
        </w:rPr>
      </w:pPr>
    </w:p>
    <w:p w:rsidR="00BB7101" w:rsidRDefault="001C1625">
      <w:pPr>
        <w:pStyle w:val="Overskrift3"/>
        <w:ind w:left="637"/>
      </w:pPr>
      <w:r>
        <w:t>KILDER:</w:t>
      </w:r>
    </w:p>
    <w:p w:rsidR="00BB7101" w:rsidRDefault="001C1625">
      <w:pPr>
        <w:pStyle w:val="Brdtekst"/>
        <w:ind w:left="637" w:right="568"/>
      </w:pPr>
      <w:r>
        <w:t xml:space="preserve">*Slått fast i flere saker av Sivilombudsmannen </w:t>
      </w:r>
      <w:hyperlink r:id="rId8">
        <w:r>
          <w:rPr>
            <w:color w:val="0562C1"/>
            <w:u w:val="single" w:color="0562C1"/>
          </w:rPr>
          <w:t>https://www.sivilombudsmannen.no/uttalelser/p</w:t>
        </w:r>
      </w:hyperlink>
      <w:r>
        <w:rPr>
          <w:color w:val="0562C1"/>
        </w:rPr>
        <w:t xml:space="preserve"> </w:t>
      </w:r>
      <w:hyperlink r:id="rId9">
        <w:r>
          <w:rPr>
            <w:color w:val="0562C1"/>
            <w:u w:val="single" w:color="0562C1"/>
          </w:rPr>
          <w:t>artsinnsyn-for-laerer-i-sak-om-elevs-psykososiale-</w:t>
        </w:r>
      </w:hyperlink>
      <w:r>
        <w:rPr>
          <w:color w:val="0562C1"/>
        </w:rPr>
        <w:t xml:space="preserve"> </w:t>
      </w:r>
      <w:hyperlink r:id="rId10">
        <w:r>
          <w:rPr>
            <w:color w:val="0562C1"/>
            <w:u w:val="single" w:color="0562C1"/>
          </w:rPr>
          <w:t>laeringsmiljo/</w:t>
        </w:r>
      </w:hyperlink>
    </w:p>
    <w:p w:rsidR="00BB7101" w:rsidRDefault="00BB7101">
      <w:pPr>
        <w:pStyle w:val="Brdtekst"/>
        <w:spacing w:before="11"/>
        <w:rPr>
          <w:sz w:val="23"/>
        </w:rPr>
      </w:pPr>
    </w:p>
    <w:p w:rsidR="00BB7101" w:rsidRDefault="001C1625">
      <w:pPr>
        <w:pStyle w:val="Brdtekst"/>
        <w:ind w:left="637" w:right="579"/>
      </w:pPr>
      <w:r>
        <w:rPr>
          <w:b/>
        </w:rPr>
        <w:t>*</w:t>
      </w:r>
      <w:r>
        <w:t>Grunnprinsipper i avtaleretten/</w:t>
      </w:r>
      <w:r>
        <w:rPr>
          <w:color w:val="212121"/>
        </w:rPr>
        <w:t xml:space="preserve">«Contracter ... skulle holdis» </w:t>
      </w:r>
      <w:hyperlink r:id="rId11">
        <w:r>
          <w:rPr>
            <w:color w:val="0562C1"/>
            <w:u w:val="single" w:color="0562C1"/>
          </w:rPr>
          <w:t>https://jusleksikon.no/wiki/Grunnprinsipper_i_av</w:t>
        </w:r>
      </w:hyperlink>
      <w:r>
        <w:rPr>
          <w:color w:val="0562C1"/>
        </w:rPr>
        <w:t xml:space="preserve"> </w:t>
      </w:r>
      <w:hyperlink r:id="rId12">
        <w:r>
          <w:rPr>
            <w:color w:val="0562C1"/>
            <w:u w:val="single" w:color="0562C1"/>
          </w:rPr>
          <w:t>taleretten</w:t>
        </w:r>
      </w:hyperlink>
    </w:p>
    <w:p w:rsidR="00BB7101" w:rsidRDefault="00BB7101">
      <w:pPr>
        <w:pStyle w:val="Brdtekst"/>
        <w:spacing w:before="2"/>
      </w:pPr>
    </w:p>
    <w:p w:rsidR="00BB7101" w:rsidRDefault="001C1625">
      <w:pPr>
        <w:pStyle w:val="Brdtekst"/>
        <w:ind w:left="637" w:right="1122"/>
      </w:pPr>
      <w:r>
        <w:rPr>
          <w:b/>
        </w:rPr>
        <w:t>*</w:t>
      </w:r>
      <w:r>
        <w:t xml:space="preserve">AML har ingen bestemmelser om advarsler </w:t>
      </w:r>
      <w:hyperlink r:id="rId13">
        <w:r>
          <w:rPr>
            <w:color w:val="0562C1"/>
            <w:u w:val="single" w:color="0562C1"/>
          </w:rPr>
          <w:t>https://www.lo.no/hva-vi-mene</w:t>
        </w:r>
        <w:r>
          <w:rPr>
            <w:color w:val="0562C1"/>
            <w:u w:val="single" w:color="0562C1"/>
          </w:rPr>
          <w:t>r/lo-</w:t>
        </w:r>
      </w:hyperlink>
      <w:r>
        <w:rPr>
          <w:color w:val="0562C1"/>
        </w:rPr>
        <w:t xml:space="preserve"> </w:t>
      </w:r>
      <w:hyperlink r:id="rId14">
        <w:r>
          <w:rPr>
            <w:color w:val="0562C1"/>
            <w:u w:val="single" w:color="0562C1"/>
          </w:rPr>
          <w:t>advokatene/nyheter-fra-lo-</w:t>
        </w:r>
      </w:hyperlink>
      <w:r>
        <w:rPr>
          <w:color w:val="0562C1"/>
        </w:rPr>
        <w:t xml:space="preserve"> </w:t>
      </w:r>
      <w:hyperlink r:id="rId15">
        <w:r>
          <w:rPr>
            <w:color w:val="0562C1"/>
            <w:u w:val="single" w:color="0562C1"/>
          </w:rPr>
          <w:t>advokatene/advarsel_i_arbeidsforhold/</w:t>
        </w:r>
      </w:hyperlink>
    </w:p>
    <w:p w:rsidR="00BB7101" w:rsidRDefault="00BB7101">
      <w:pPr>
        <w:pStyle w:val="Brdtekst"/>
        <w:spacing w:before="11"/>
        <w:rPr>
          <w:sz w:val="23"/>
        </w:rPr>
      </w:pPr>
    </w:p>
    <w:p w:rsidR="00BB7101" w:rsidRDefault="001C1625">
      <w:pPr>
        <w:pStyle w:val="Brdtekst"/>
        <w:ind w:left="637" w:right="842"/>
      </w:pPr>
      <w:r>
        <w:lastRenderedPageBreak/>
        <w:t xml:space="preserve">*Opplæringsloven </w:t>
      </w:r>
      <w:hyperlink r:id="rId16">
        <w:r>
          <w:rPr>
            <w:color w:val="0562C1"/>
            <w:u w:val="single" w:color="0562C1"/>
          </w:rPr>
          <w:t>https://lovdata.no/dokument/NL/lov/1998-07-</w:t>
        </w:r>
      </w:hyperlink>
      <w:r>
        <w:rPr>
          <w:color w:val="0562C1"/>
        </w:rPr>
        <w:t xml:space="preserve"> </w:t>
      </w:r>
      <w:hyperlink r:id="rId17">
        <w:r>
          <w:rPr>
            <w:color w:val="0562C1"/>
            <w:u w:val="single" w:color="0562C1"/>
          </w:rPr>
          <w:t>17-61</w:t>
        </w:r>
      </w:hyperlink>
    </w:p>
    <w:p w:rsidR="00BB7101" w:rsidRDefault="00BB7101">
      <w:pPr>
        <w:pStyle w:val="Brdtekst"/>
        <w:spacing w:before="12"/>
        <w:rPr>
          <w:sz w:val="23"/>
        </w:rPr>
      </w:pPr>
    </w:p>
    <w:p w:rsidR="00BB7101" w:rsidRDefault="001C1625">
      <w:pPr>
        <w:pStyle w:val="Brdtekst"/>
        <w:ind w:left="637" w:right="575"/>
      </w:pPr>
      <w:r>
        <w:t xml:space="preserve">*Dom/korrigere uønsket atferd fra elevene … </w:t>
      </w:r>
      <w:hyperlink r:id="rId18">
        <w:r>
          <w:rPr>
            <w:color w:val="0562C1"/>
            <w:u w:val="single" w:color="0562C1"/>
          </w:rPr>
          <w:t>http</w:t>
        </w:r>
        <w:r>
          <w:rPr>
            <w:color w:val="0562C1"/>
            <w:u w:val="single" w:color="0562C1"/>
          </w:rPr>
          <w:t>s://www.lo.no/hva-vi-mener/lo-</w:t>
        </w:r>
      </w:hyperlink>
      <w:r>
        <w:rPr>
          <w:color w:val="0562C1"/>
        </w:rPr>
        <w:t xml:space="preserve"> </w:t>
      </w:r>
      <w:hyperlink r:id="rId19">
        <w:r>
          <w:rPr>
            <w:color w:val="0562C1"/>
            <w:u w:val="single" w:color="0562C1"/>
          </w:rPr>
          <w:t>advokatene/nyheter-fra-lo-</w:t>
        </w:r>
      </w:hyperlink>
      <w:r>
        <w:rPr>
          <w:color w:val="0562C1"/>
        </w:rPr>
        <w:t xml:space="preserve"> </w:t>
      </w:r>
      <w:hyperlink r:id="rId20">
        <w:r>
          <w:rPr>
            <w:color w:val="0562C1"/>
            <w:u w:val="single" w:color="0562C1"/>
          </w:rPr>
          <w:t>advokatene/lareren_sin_adgang_til_a_irettesette</w:t>
        </w:r>
      </w:hyperlink>
    </w:p>
    <w:p w:rsidR="00BB7101" w:rsidRDefault="001C1625">
      <w:pPr>
        <w:pStyle w:val="Brdtekst"/>
        <w:spacing w:before="2"/>
        <w:ind w:left="637"/>
      </w:pPr>
      <w:hyperlink r:id="rId21">
        <w:r>
          <w:rPr>
            <w:color w:val="0562C1"/>
            <w:u w:val="single" w:color="0562C1"/>
          </w:rPr>
          <w:t>_elever/</w:t>
        </w:r>
      </w:hyperlink>
    </w:p>
    <w:p w:rsidR="00BB7101" w:rsidRDefault="00BB7101">
      <w:pPr>
        <w:sectPr w:rsidR="00BB7101">
          <w:pgSz w:w="11910" w:h="16840"/>
          <w:pgMar w:top="660" w:right="160" w:bottom="280" w:left="100" w:header="708" w:footer="708" w:gutter="0"/>
          <w:cols w:num="2" w:space="708" w:equalWidth="0">
            <w:col w:w="5494" w:space="76"/>
            <w:col w:w="6080"/>
          </w:cols>
        </w:sectPr>
      </w:pPr>
    </w:p>
    <w:p w:rsidR="00BB7101" w:rsidRDefault="00BB7101">
      <w:pPr>
        <w:pStyle w:val="Brdtekst"/>
        <w:spacing w:before="6"/>
        <w:rPr>
          <w:sz w:val="27"/>
        </w:rPr>
      </w:pPr>
    </w:p>
    <w:p w:rsidR="00BB7101" w:rsidRDefault="001C1625">
      <w:pPr>
        <w:pStyle w:val="Brdtekst"/>
        <w:ind w:left="635"/>
        <w:rPr>
          <w:sz w:val="20"/>
        </w:rPr>
      </w:pPr>
      <w:r>
        <w:rPr>
          <w:sz w:val="20"/>
        </w:rPr>
      </w:r>
      <w:r w:rsidR="00D168EA">
        <w:rPr>
          <w:sz w:val="20"/>
        </w:rPr>
        <w:pict>
          <v:group id="_x0000_s1026" style="width:532.75pt;height:46.85pt;mso-position-horizontal-relative:char;mso-position-vertical-relative:line" coordsize="10655,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0655;height:937">
              <v:imagedata r:id="rId22" o:title=""/>
            </v:shape>
            <v:shapetype id="_x0000_t202" coordsize="21600,21600" o:spt="202" path="m,l,21600r21600,l21600,xe">
              <v:stroke joinstyle="miter"/>
              <v:path gradientshapeok="t" o:connecttype="rect"/>
            </v:shapetype>
            <v:shape id="_x0000_s1027" type="#_x0000_t202" style="position:absolute;width:10655;height:937" filled="f" stroked="f">
              <v:textbox inset="0,0,0,0">
                <w:txbxContent>
                  <w:p w:rsidR="00BB7101" w:rsidRDefault="00BB7101">
                    <w:pPr>
                      <w:spacing w:before="12"/>
                      <w:rPr>
                        <w:sz w:val="23"/>
                      </w:rPr>
                    </w:pPr>
                  </w:p>
                  <w:p w:rsidR="00BB7101" w:rsidRDefault="001C1625">
                    <w:pPr>
                      <w:ind w:left="292"/>
                      <w:rPr>
                        <w:b/>
                        <w:sz w:val="28"/>
                      </w:rPr>
                    </w:pPr>
                    <w:r>
                      <w:rPr>
                        <w:b/>
                        <w:color w:val="FF0000"/>
                        <w:sz w:val="28"/>
                      </w:rPr>
                      <w:t xml:space="preserve">HUSK! </w:t>
                    </w:r>
                    <w:r>
                      <w:rPr>
                        <w:b/>
                        <w:sz w:val="28"/>
                      </w:rPr>
                      <w:t xml:space="preserve">Du kan ha med deg </w:t>
                    </w:r>
                    <w:r>
                      <w:rPr>
                        <w:b/>
                        <w:color w:val="FF0000"/>
                        <w:sz w:val="28"/>
                      </w:rPr>
                      <w:t xml:space="preserve">tillitsvalgt </w:t>
                    </w:r>
                    <w:r>
                      <w:rPr>
                        <w:b/>
                        <w:sz w:val="28"/>
                      </w:rPr>
                      <w:t>på møter med arbeidsgiver. Bruk denne retten!</w:t>
                    </w:r>
                  </w:p>
                </w:txbxContent>
              </v:textbox>
            </v:shape>
            <w10:anchorlock/>
          </v:group>
        </w:pict>
      </w:r>
    </w:p>
    <w:p w:rsidR="00BB7101" w:rsidRDefault="00BB7101">
      <w:pPr>
        <w:rPr>
          <w:sz w:val="20"/>
        </w:rPr>
        <w:sectPr w:rsidR="00BB7101">
          <w:type w:val="continuous"/>
          <w:pgSz w:w="11910" w:h="16840"/>
          <w:pgMar w:top="640" w:right="160" w:bottom="0" w:left="100" w:header="708" w:footer="708" w:gutter="0"/>
          <w:cols w:space="708"/>
        </w:sectPr>
      </w:pPr>
    </w:p>
    <w:p w:rsidR="00BB7101" w:rsidRDefault="00BB7101">
      <w:pPr>
        <w:pStyle w:val="Brdtekst"/>
        <w:ind w:left="118"/>
        <w:rPr>
          <w:sz w:val="20"/>
        </w:rPr>
      </w:pPr>
    </w:p>
    <w:p w:rsidR="00BB7101" w:rsidRDefault="004E18A0">
      <w:pPr>
        <w:pStyle w:val="Brdtekst"/>
        <w:spacing w:before="10"/>
        <w:rPr>
          <w:sz w:val="28"/>
        </w:rPr>
      </w:pPr>
      <w:r>
        <w:rPr>
          <w:noProof/>
        </w:rPr>
        <w:lastRenderedPageBreak/>
        <w:drawing>
          <wp:anchor distT="0" distB="0" distL="0" distR="0" simplePos="0" relativeHeight="251652096" behindDoc="0" locked="0" layoutInCell="1" allowOverlap="1">
            <wp:simplePos x="0" y="0"/>
            <wp:positionH relativeFrom="page">
              <wp:posOffset>1200829</wp:posOffset>
            </wp:positionH>
            <wp:positionV relativeFrom="paragraph">
              <wp:posOffset>6354312</wp:posOffset>
            </wp:positionV>
            <wp:extent cx="5156200" cy="3368040"/>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3" cstate="print"/>
                    <a:stretch>
                      <a:fillRect/>
                    </a:stretch>
                  </pic:blipFill>
                  <pic:spPr>
                    <a:xfrm>
                      <a:off x="0" y="0"/>
                      <a:ext cx="5156200" cy="3368040"/>
                    </a:xfrm>
                    <a:prstGeom prst="rect">
                      <a:avLst/>
                    </a:prstGeom>
                  </pic:spPr>
                </pic:pic>
              </a:graphicData>
            </a:graphic>
          </wp:anchor>
        </w:drawing>
      </w:r>
      <w:r>
        <w:rPr>
          <w:noProof/>
          <w:sz w:val="20"/>
        </w:rPr>
        <w:drawing>
          <wp:anchor distT="0" distB="0" distL="114300" distR="114300" simplePos="0" relativeHeight="251667456" behindDoc="0" locked="0" layoutInCell="1" allowOverlap="1">
            <wp:simplePos x="0" y="0"/>
            <wp:positionH relativeFrom="column">
              <wp:posOffset>301669</wp:posOffset>
            </wp:positionH>
            <wp:positionV relativeFrom="paragraph">
              <wp:posOffset>6988</wp:posOffset>
            </wp:positionV>
            <wp:extent cx="6758169" cy="6039293"/>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58169" cy="6039293"/>
                    </a:xfrm>
                    <a:prstGeom prst="rect">
                      <a:avLst/>
                    </a:prstGeom>
                  </pic:spPr>
                </pic:pic>
              </a:graphicData>
            </a:graphic>
            <wp14:sizeRelH relativeFrom="margin">
              <wp14:pctWidth>0</wp14:pctWidth>
            </wp14:sizeRelH>
            <wp14:sizeRelV relativeFrom="margin">
              <wp14:pctHeight>0</wp14:pctHeight>
            </wp14:sizeRelV>
          </wp:anchor>
        </w:drawing>
      </w:r>
    </w:p>
    <w:sectPr w:rsidR="00BB7101">
      <w:pgSz w:w="11910" w:h="16840"/>
      <w:pgMar w:top="280" w:right="160" w:bottom="280" w:left="1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EC5268"/>
    <w:multiLevelType w:val="hybridMultilevel"/>
    <w:tmpl w:val="5886A2C0"/>
    <w:lvl w:ilvl="0" w:tplc="329E35BE">
      <w:numFmt w:val="bullet"/>
      <w:lvlText w:val=""/>
      <w:lvlJc w:val="left"/>
      <w:pPr>
        <w:ind w:left="1340" w:hanging="360"/>
      </w:pPr>
      <w:rPr>
        <w:rFonts w:ascii="Symbol" w:eastAsia="Symbol" w:hAnsi="Symbol" w:cs="Symbol" w:hint="default"/>
        <w:w w:val="100"/>
        <w:sz w:val="24"/>
        <w:szCs w:val="24"/>
        <w:lang w:val="nb" w:eastAsia="nb" w:bidi="nb"/>
      </w:rPr>
    </w:lvl>
    <w:lvl w:ilvl="1" w:tplc="15A60754">
      <w:numFmt w:val="bullet"/>
      <w:lvlText w:val="•"/>
      <w:lvlJc w:val="left"/>
      <w:pPr>
        <w:ind w:left="1759" w:hanging="360"/>
      </w:pPr>
      <w:rPr>
        <w:rFonts w:hint="default"/>
        <w:lang w:val="nb" w:eastAsia="nb" w:bidi="nb"/>
      </w:rPr>
    </w:lvl>
    <w:lvl w:ilvl="2" w:tplc="998C0512">
      <w:numFmt w:val="bullet"/>
      <w:lvlText w:val="•"/>
      <w:lvlJc w:val="left"/>
      <w:pPr>
        <w:ind w:left="2178" w:hanging="360"/>
      </w:pPr>
      <w:rPr>
        <w:rFonts w:hint="default"/>
        <w:lang w:val="nb" w:eastAsia="nb" w:bidi="nb"/>
      </w:rPr>
    </w:lvl>
    <w:lvl w:ilvl="3" w:tplc="CE40EB00">
      <w:numFmt w:val="bullet"/>
      <w:lvlText w:val="•"/>
      <w:lvlJc w:val="left"/>
      <w:pPr>
        <w:ind w:left="2597" w:hanging="360"/>
      </w:pPr>
      <w:rPr>
        <w:rFonts w:hint="default"/>
        <w:lang w:val="nb" w:eastAsia="nb" w:bidi="nb"/>
      </w:rPr>
    </w:lvl>
    <w:lvl w:ilvl="4" w:tplc="FAC6224E">
      <w:numFmt w:val="bullet"/>
      <w:lvlText w:val="•"/>
      <w:lvlJc w:val="left"/>
      <w:pPr>
        <w:ind w:left="3016" w:hanging="360"/>
      </w:pPr>
      <w:rPr>
        <w:rFonts w:hint="default"/>
        <w:lang w:val="nb" w:eastAsia="nb" w:bidi="nb"/>
      </w:rPr>
    </w:lvl>
    <w:lvl w:ilvl="5" w:tplc="85CC4976">
      <w:numFmt w:val="bullet"/>
      <w:lvlText w:val="•"/>
      <w:lvlJc w:val="left"/>
      <w:pPr>
        <w:ind w:left="3436" w:hanging="360"/>
      </w:pPr>
      <w:rPr>
        <w:rFonts w:hint="default"/>
        <w:lang w:val="nb" w:eastAsia="nb" w:bidi="nb"/>
      </w:rPr>
    </w:lvl>
    <w:lvl w:ilvl="6" w:tplc="9B242E0A">
      <w:numFmt w:val="bullet"/>
      <w:lvlText w:val="•"/>
      <w:lvlJc w:val="left"/>
      <w:pPr>
        <w:ind w:left="3855" w:hanging="360"/>
      </w:pPr>
      <w:rPr>
        <w:rFonts w:hint="default"/>
        <w:lang w:val="nb" w:eastAsia="nb" w:bidi="nb"/>
      </w:rPr>
    </w:lvl>
    <w:lvl w:ilvl="7" w:tplc="B2723AB2">
      <w:numFmt w:val="bullet"/>
      <w:lvlText w:val="•"/>
      <w:lvlJc w:val="left"/>
      <w:pPr>
        <w:ind w:left="4274" w:hanging="360"/>
      </w:pPr>
      <w:rPr>
        <w:rFonts w:hint="default"/>
        <w:lang w:val="nb" w:eastAsia="nb" w:bidi="nb"/>
      </w:rPr>
    </w:lvl>
    <w:lvl w:ilvl="8" w:tplc="471435E2">
      <w:numFmt w:val="bullet"/>
      <w:lvlText w:val="•"/>
      <w:lvlJc w:val="left"/>
      <w:pPr>
        <w:ind w:left="4693" w:hanging="360"/>
      </w:pPr>
      <w:rPr>
        <w:rFonts w:hint="default"/>
        <w:lang w:val="nb" w:eastAsia="nb" w:bidi="n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BB7101"/>
    <w:rsid w:val="001C1625"/>
    <w:rsid w:val="004E18A0"/>
    <w:rsid w:val="00692A27"/>
    <w:rsid w:val="00BB7101"/>
    <w:rsid w:val="00D168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929E721E-C80B-420F-8BB3-B730C522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val="nb" w:eastAsia="nb" w:bidi="nb"/>
    </w:rPr>
  </w:style>
  <w:style w:type="paragraph" w:styleId="Overskrift1">
    <w:name w:val="heading 1"/>
    <w:basedOn w:val="Normal"/>
    <w:uiPriority w:val="9"/>
    <w:qFormat/>
    <w:pPr>
      <w:spacing w:line="601" w:lineRule="exact"/>
      <w:ind w:left="6018"/>
      <w:outlineLvl w:val="0"/>
    </w:pPr>
    <w:rPr>
      <w:rFonts w:ascii="Arial" w:eastAsia="Arial" w:hAnsi="Arial" w:cs="Arial"/>
      <w:sz w:val="56"/>
      <w:szCs w:val="56"/>
    </w:rPr>
  </w:style>
  <w:style w:type="paragraph" w:styleId="Overskrift2">
    <w:name w:val="heading 2"/>
    <w:basedOn w:val="Normal"/>
    <w:uiPriority w:val="9"/>
    <w:unhideWhenUsed/>
    <w:qFormat/>
    <w:pPr>
      <w:ind w:left="620" w:right="269"/>
      <w:outlineLvl w:val="1"/>
    </w:pPr>
    <w:rPr>
      <w:b/>
      <w:bCs/>
      <w:sz w:val="32"/>
      <w:szCs w:val="32"/>
    </w:rPr>
  </w:style>
  <w:style w:type="paragraph" w:styleId="Overskrift3">
    <w:name w:val="heading 3"/>
    <w:basedOn w:val="Normal"/>
    <w:uiPriority w:val="9"/>
    <w:unhideWhenUsed/>
    <w:qFormat/>
    <w:pPr>
      <w:ind w:left="620"/>
      <w:outlineLvl w:val="2"/>
    </w:pPr>
    <w:rPr>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4"/>
      <w:szCs w:val="24"/>
    </w:rPr>
  </w:style>
  <w:style w:type="paragraph" w:styleId="Listeavsnitt">
    <w:name w:val="List Paragraph"/>
    <w:basedOn w:val="Normal"/>
    <w:uiPriority w:val="1"/>
    <w:qFormat/>
    <w:pPr>
      <w:spacing w:line="305" w:lineRule="exact"/>
      <w:ind w:left="1340" w:hanging="360"/>
    </w:pPr>
  </w:style>
  <w:style w:type="paragraph" w:customStyle="1" w:styleId="TableParagraph">
    <w:name w:val="Table Paragraph"/>
    <w:basedOn w:val="Normal"/>
    <w:uiPriority w:val="1"/>
    <w:qFormat/>
  </w:style>
  <w:style w:type="paragraph" w:styleId="Bobletekst">
    <w:name w:val="Balloon Text"/>
    <w:basedOn w:val="Normal"/>
    <w:link w:val="BobletekstTegn"/>
    <w:uiPriority w:val="99"/>
    <w:semiHidden/>
    <w:unhideWhenUsed/>
    <w:rsid w:val="001C1625"/>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C1625"/>
    <w:rPr>
      <w:rFonts w:ascii="Segoe UI" w:eastAsia="Calibri" w:hAnsi="Segoe UI" w:cs="Segoe UI"/>
      <w:sz w:val="18"/>
      <w:szCs w:val="18"/>
      <w:lang w:val="nb" w:eastAsia="nb" w:bidi="n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ivilombudsmannen.no/uttalelser/partsinnsyn-for-laerer-i-sak-om-elevs-psykososiale-laeringsmiljo/" TargetMode="External"/><Relationship Id="rId13" Type="http://schemas.openxmlformats.org/officeDocument/2006/relationships/hyperlink" Target="https://www.lo.no/hva-vi-mener/lo-advokatene/nyheter-fra-lo-advokatene/advarsel_i_arbeidsforhold/" TargetMode="External"/><Relationship Id="rId18" Type="http://schemas.openxmlformats.org/officeDocument/2006/relationships/hyperlink" Target="https://www.lo.no/hva-vi-mener/lo-advokatene/nyheter-fra-lo-advokatene/lareren_sin_adgang_til_a_irettesette_eleve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o.no/hva-vi-mener/lo-advokatene/nyheter-fra-lo-advokatene/lareren_sin_adgang_til_a_irettesette_elever/" TargetMode="External"/><Relationship Id="rId7" Type="http://schemas.openxmlformats.org/officeDocument/2006/relationships/image" Target="media/image3.jpeg"/><Relationship Id="rId12" Type="http://schemas.openxmlformats.org/officeDocument/2006/relationships/hyperlink" Target="https://jusleksikon.no/wiki/Grunnprinsipper_i_avtaleretten" TargetMode="External"/><Relationship Id="rId17" Type="http://schemas.openxmlformats.org/officeDocument/2006/relationships/hyperlink" Target="https://lovdata.no/dokument/NL/lov/1998-07-17-6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ovdata.no/dokument/NL/lov/1998-07-17-61" TargetMode="External"/><Relationship Id="rId20" Type="http://schemas.openxmlformats.org/officeDocument/2006/relationships/hyperlink" Target="https://www.lo.no/hva-vi-mener/lo-advokatene/nyheter-fra-lo-advokatene/lareren_sin_adgang_til_a_irettesette_elev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jusleksikon.no/wiki/Grunnprinsipper_i_avtaleretten" TargetMode="External"/><Relationship Id="rId24"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www.lo.no/hva-vi-mener/lo-advokatene/nyheter-fra-lo-advokatene/advarsel_i_arbeidsforhold/" TargetMode="External"/><Relationship Id="rId23" Type="http://schemas.openxmlformats.org/officeDocument/2006/relationships/image" Target="media/image5.png"/><Relationship Id="rId10" Type="http://schemas.openxmlformats.org/officeDocument/2006/relationships/hyperlink" Target="https://www.sivilombudsmannen.no/uttalelser/partsinnsyn-for-laerer-i-sak-om-elevs-psykososiale-laeringsmiljo/" TargetMode="External"/><Relationship Id="rId19" Type="http://schemas.openxmlformats.org/officeDocument/2006/relationships/hyperlink" Target="https://www.lo.no/hva-vi-mener/lo-advokatene/nyheter-fra-lo-advokatene/lareren_sin_adgang_til_a_irettesette_elever/" TargetMode="External"/><Relationship Id="rId4" Type="http://schemas.openxmlformats.org/officeDocument/2006/relationships/webSettings" Target="webSettings.xml"/><Relationship Id="rId9" Type="http://schemas.openxmlformats.org/officeDocument/2006/relationships/hyperlink" Target="https://www.sivilombudsmannen.no/uttalelser/partsinnsyn-for-laerer-i-sak-om-elevs-psykososiale-laeringsmiljo/" TargetMode="External"/><Relationship Id="rId14" Type="http://schemas.openxmlformats.org/officeDocument/2006/relationships/hyperlink" Target="https://www.lo.no/hva-vi-mener/lo-advokatene/nyheter-fra-lo-advokatene/advarsel_i_arbeidsforhold/"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1157</Words>
  <Characters>6136</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Runar Nørstad</dc:creator>
  <cp:lastModifiedBy>Runar Nørstad</cp:lastModifiedBy>
  <cp:revision>4</cp:revision>
  <cp:lastPrinted>2020-02-26T09:47:00Z</cp:lastPrinted>
  <dcterms:created xsi:type="dcterms:W3CDTF">2020-02-26T09:29:00Z</dcterms:created>
  <dcterms:modified xsi:type="dcterms:W3CDTF">2020-02-26T09:52:00Z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Acrobat PDFMaker 20 for Word</vt:lpwstr>
  </property>
  <property fmtid="{D5CDD505-2E9C-101B-9397-08002B2CF9AE}" pid="4" name="LastSaved">
    <vt:filetime>2020-02-26T00:00:00Z</vt:filetime>
  </property>
</Properties>
</file>